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69" w:rsidRDefault="00D1783D">
      <w:pPr>
        <w:jc w:val="both"/>
        <w:rPr>
          <w:rFonts w:ascii="Segoe UI" w:hAnsi="Segoe UI" w:cs="Segoe UI"/>
          <w:b/>
          <w:sz w:val="24"/>
          <w:szCs w:val="24"/>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rsidR="00110C69" w:rsidRDefault="00D1783D">
      <w:pPr>
        <w:spacing w:after="0" w:line="276" w:lineRule="auto"/>
        <w:jc w:val="right"/>
        <w:rPr>
          <w:rFonts w:ascii="Segoe UI" w:hAnsi="Segoe UI" w:cs="Segoe UI"/>
          <w:b/>
          <w:sz w:val="32"/>
          <w:szCs w:val="32"/>
        </w:rPr>
      </w:pPr>
      <w:r>
        <w:rPr>
          <w:rFonts w:ascii="Segoe UI" w:hAnsi="Segoe UI" w:cs="Segoe UI"/>
          <w:b/>
          <w:sz w:val="32"/>
          <w:szCs w:val="32"/>
        </w:rPr>
        <w:t>ПРЕСС-РЕЛИЗ</w:t>
      </w:r>
    </w:p>
    <w:p w:rsidR="00110C69" w:rsidRDefault="00D1783D">
      <w:pPr>
        <w:spacing w:after="0" w:line="276" w:lineRule="auto"/>
        <w:jc w:val="right"/>
        <w:rPr>
          <w:rFonts w:ascii="Segoe UI" w:hAnsi="Segoe UI" w:cs="Segoe UI"/>
          <w:b/>
          <w:sz w:val="24"/>
          <w:szCs w:val="24"/>
        </w:rPr>
      </w:pPr>
      <w:r>
        <w:rPr>
          <w:rFonts w:ascii="Segoe UI" w:hAnsi="Segoe UI" w:cs="Segoe UI"/>
          <w:b/>
          <w:sz w:val="24"/>
          <w:szCs w:val="24"/>
        </w:rPr>
        <w:t>05</w:t>
      </w:r>
      <w:r>
        <w:rPr>
          <w:rFonts w:ascii="Segoe UI" w:hAnsi="Segoe UI" w:cs="Segoe UI"/>
          <w:b/>
          <w:sz w:val="24"/>
          <w:szCs w:val="24"/>
        </w:rPr>
        <w:t xml:space="preserve"> но</w:t>
      </w:r>
      <w:bookmarkStart w:id="0" w:name="_GoBack"/>
      <w:bookmarkEnd w:id="0"/>
      <w:r>
        <w:rPr>
          <w:rFonts w:ascii="Segoe UI" w:hAnsi="Segoe UI" w:cs="Segoe UI"/>
          <w:b/>
          <w:sz w:val="24"/>
          <w:szCs w:val="24"/>
        </w:rPr>
        <w:t>ября 2019</w:t>
      </w:r>
    </w:p>
    <w:p w:rsidR="00110C69" w:rsidRDefault="00110C69">
      <w:pPr>
        <w:spacing w:after="0" w:line="276" w:lineRule="auto"/>
        <w:jc w:val="right"/>
        <w:rPr>
          <w:rFonts w:ascii="Segoe UI" w:hAnsi="Segoe UI" w:cs="Segoe UI"/>
          <w:b/>
          <w:sz w:val="32"/>
          <w:szCs w:val="32"/>
        </w:rPr>
      </w:pPr>
    </w:p>
    <w:p w:rsidR="00110C69" w:rsidRDefault="00D1783D">
      <w:pPr>
        <w:spacing w:after="0"/>
        <w:jc w:val="center"/>
        <w:rPr>
          <w:rFonts w:ascii="Segoe UI" w:hAnsi="Segoe UI" w:cs="Segoe UI"/>
          <w:b/>
          <w:sz w:val="28"/>
          <w:szCs w:val="28"/>
        </w:rPr>
      </w:pPr>
      <w:r>
        <w:rPr>
          <w:rFonts w:ascii="Segoe UI" w:hAnsi="Segoe UI" w:cs="Segoe UI"/>
          <w:b/>
          <w:sz w:val="28"/>
          <w:szCs w:val="28"/>
        </w:rPr>
        <w:t xml:space="preserve">Рекомендации Управления Росреестра тем, </w:t>
      </w:r>
    </w:p>
    <w:p w:rsidR="00110C69" w:rsidRDefault="00D1783D">
      <w:pPr>
        <w:spacing w:after="0"/>
        <w:jc w:val="center"/>
        <w:rPr>
          <w:rFonts w:ascii="Segoe UI" w:hAnsi="Segoe UI" w:cs="Segoe UI"/>
          <w:b/>
          <w:sz w:val="28"/>
          <w:szCs w:val="28"/>
        </w:rPr>
      </w:pPr>
      <w:r>
        <w:rPr>
          <w:rFonts w:ascii="Segoe UI" w:hAnsi="Segoe UI" w:cs="Segoe UI"/>
          <w:b/>
          <w:sz w:val="28"/>
          <w:szCs w:val="28"/>
        </w:rPr>
        <w:t>кто планирует купить «</w:t>
      </w:r>
      <w:proofErr w:type="spellStart"/>
      <w:r>
        <w:rPr>
          <w:rFonts w:ascii="Segoe UI" w:hAnsi="Segoe UI" w:cs="Segoe UI"/>
          <w:b/>
          <w:sz w:val="28"/>
          <w:szCs w:val="28"/>
        </w:rPr>
        <w:t>долевку</w:t>
      </w:r>
      <w:proofErr w:type="spellEnd"/>
      <w:r>
        <w:rPr>
          <w:rFonts w:ascii="Segoe UI" w:hAnsi="Segoe UI" w:cs="Segoe UI"/>
          <w:b/>
          <w:sz w:val="28"/>
          <w:szCs w:val="28"/>
        </w:rPr>
        <w:t>»</w:t>
      </w:r>
    </w:p>
    <w:p w:rsidR="00110C69" w:rsidRDefault="00D1783D">
      <w:pPr>
        <w:spacing w:after="0"/>
        <w:ind w:firstLine="708"/>
        <w:jc w:val="both"/>
        <w:rPr>
          <w:rFonts w:ascii="Segoe UI" w:hAnsi="Segoe UI" w:cs="Segoe UI"/>
          <w:sz w:val="24"/>
          <w:szCs w:val="24"/>
        </w:rPr>
      </w:pPr>
      <w:r>
        <w:rPr>
          <w:rFonts w:ascii="Segoe UI" w:hAnsi="Segoe UI" w:cs="Segoe UI"/>
          <w:sz w:val="24"/>
          <w:szCs w:val="24"/>
        </w:rPr>
        <w:t>В Самарской области рынок долевого строительства достаточно развит. А тех, кто готов приобрести жилье в строящемся доме, по-прежнему немало. Поэтому информация о том, как узнать о компании-застройщике, всегда актуальна. И особенно к концу года, когда тради</w:t>
      </w:r>
      <w:r>
        <w:rPr>
          <w:rFonts w:ascii="Segoe UI" w:hAnsi="Segoe UI" w:cs="Segoe UI"/>
          <w:sz w:val="24"/>
          <w:szCs w:val="24"/>
        </w:rPr>
        <w:t>ционно наблюдается рост покупательской активности в сфере недвижимости. Это продемонстрировала и «прямая линия», которая прошла в Управлении Росреестра по Самарской области. Большинство позвонивших – потенциальные «дольщики», которых интересовало как прове</w:t>
      </w:r>
      <w:r>
        <w:rPr>
          <w:rFonts w:ascii="Segoe UI" w:hAnsi="Segoe UI" w:cs="Segoe UI"/>
          <w:sz w:val="24"/>
          <w:szCs w:val="24"/>
        </w:rPr>
        <w:t xml:space="preserve">рить, насколько благонадежен застройщик и какие механизмы защиты средств дольщиков на сегодня предусмотрены законодательством. </w:t>
      </w:r>
    </w:p>
    <w:p w:rsidR="00110C69" w:rsidRDefault="00D1783D">
      <w:pPr>
        <w:spacing w:after="0"/>
        <w:ind w:firstLine="708"/>
        <w:jc w:val="both"/>
        <w:rPr>
          <w:rFonts w:ascii="Segoe UI" w:hAnsi="Segoe UI" w:cs="Segoe UI"/>
          <w:sz w:val="24"/>
          <w:szCs w:val="24"/>
        </w:rPr>
      </w:pPr>
      <w:proofErr w:type="gramStart"/>
      <w:r>
        <w:rPr>
          <w:rFonts w:ascii="Segoe UI" w:hAnsi="Segoe UI" w:cs="Segoe UI"/>
          <w:sz w:val="24"/>
          <w:szCs w:val="24"/>
        </w:rPr>
        <w:t xml:space="preserve">«Застройщик обязан размещать подробную информацию о себе как на сайте компании, так и на сайте </w:t>
      </w:r>
      <w:proofErr w:type="spellStart"/>
      <w:r>
        <w:rPr>
          <w:rFonts w:ascii="Segoe UI" w:hAnsi="Segoe UI" w:cs="Segoe UI"/>
          <w:sz w:val="24"/>
          <w:szCs w:val="24"/>
        </w:rPr>
        <w:t>наш.дом.рф</w:t>
      </w:r>
      <w:proofErr w:type="spellEnd"/>
      <w:proofErr w:type="gramEnd"/>
      <w:r>
        <w:rPr>
          <w:rFonts w:ascii="Segoe UI" w:hAnsi="Segoe UI" w:cs="Segoe UI"/>
          <w:sz w:val="24"/>
          <w:szCs w:val="24"/>
        </w:rPr>
        <w:t>, - говорит начальник о</w:t>
      </w:r>
      <w:r>
        <w:rPr>
          <w:rFonts w:ascii="Segoe UI" w:hAnsi="Segoe UI" w:cs="Segoe UI"/>
          <w:sz w:val="24"/>
          <w:szCs w:val="24"/>
        </w:rPr>
        <w:t xml:space="preserve">тдела регистрации договоров участия в долевом строительстве Управления Росреестра по Самарской области </w:t>
      </w:r>
      <w:r>
        <w:rPr>
          <w:rFonts w:ascii="Segoe UI" w:hAnsi="Segoe UI" w:cs="Segoe UI"/>
          <w:b/>
          <w:sz w:val="24"/>
          <w:szCs w:val="24"/>
        </w:rPr>
        <w:t>Сергей Лазарев</w:t>
      </w:r>
      <w:r>
        <w:rPr>
          <w:rFonts w:ascii="Segoe UI" w:hAnsi="Segoe UI" w:cs="Segoe UI"/>
          <w:sz w:val="24"/>
          <w:szCs w:val="24"/>
        </w:rPr>
        <w:t xml:space="preserve">. -  </w:t>
      </w:r>
      <w:proofErr w:type="spellStart"/>
      <w:r>
        <w:rPr>
          <w:rFonts w:ascii="Segoe UI" w:hAnsi="Segoe UI" w:cs="Segoe UI"/>
          <w:sz w:val="24"/>
          <w:szCs w:val="24"/>
        </w:rPr>
        <w:t>Наш.дом.рф</w:t>
      </w:r>
      <w:proofErr w:type="spellEnd"/>
      <w:r>
        <w:rPr>
          <w:rFonts w:ascii="Segoe UI" w:hAnsi="Segoe UI" w:cs="Segoe UI"/>
          <w:sz w:val="24"/>
          <w:szCs w:val="24"/>
        </w:rPr>
        <w:t xml:space="preserve"> – это общедоступный федеральный ресурс, единая информационная система жилищного строительства. Здесь можно найти интересующ</w:t>
      </w:r>
      <w:r>
        <w:rPr>
          <w:rFonts w:ascii="Segoe UI" w:hAnsi="Segoe UI" w:cs="Segoe UI"/>
          <w:sz w:val="24"/>
          <w:szCs w:val="24"/>
        </w:rPr>
        <w:t>ий объект недвижимости по адресу или по наименованию застройщика. Необходимо обратить внимание, размещено ли разрешение на строительство, изучить проектную декларацию (в которой указан в том числе срок сдачи объекта), прочитать заключения контрольно-надзор</w:t>
      </w:r>
      <w:r>
        <w:rPr>
          <w:rFonts w:ascii="Segoe UI" w:hAnsi="Segoe UI" w:cs="Segoe UI"/>
          <w:sz w:val="24"/>
          <w:szCs w:val="24"/>
        </w:rPr>
        <w:t xml:space="preserve">ных органов, поскольку в них содержится оценка, данная застройщику по критериям, установленным федеральным законодательством». </w:t>
      </w:r>
    </w:p>
    <w:p w:rsidR="00110C69" w:rsidRDefault="00D1783D">
      <w:pPr>
        <w:spacing w:after="0"/>
        <w:ind w:firstLine="708"/>
        <w:jc w:val="both"/>
        <w:rPr>
          <w:rFonts w:ascii="Segoe UI" w:hAnsi="Segoe UI" w:cs="Segoe UI"/>
          <w:sz w:val="24"/>
          <w:szCs w:val="24"/>
        </w:rPr>
      </w:pPr>
      <w:r>
        <w:rPr>
          <w:rFonts w:ascii="Segoe UI" w:hAnsi="Segoe UI" w:cs="Segoe UI"/>
          <w:sz w:val="24"/>
          <w:szCs w:val="24"/>
        </w:rPr>
        <w:t>Эксперт также сообщил, что на указанном общедоступном информационном ресурсе должна быть представлена информация и о том, в како</w:t>
      </w:r>
      <w:r>
        <w:rPr>
          <w:rFonts w:ascii="Segoe UI" w:hAnsi="Segoe UI" w:cs="Segoe UI"/>
          <w:sz w:val="24"/>
          <w:szCs w:val="24"/>
        </w:rPr>
        <w:t>м порядке застройщик привлекает денежные средства дольщиков. «Механизм, который действовал ранее – обязательное страхование ответственности застройщика перед дольщиками - законодательно отменен, - подчеркнул Сергей Лазарев. – На сегодня может быть только д</w:t>
      </w:r>
      <w:r>
        <w:rPr>
          <w:rFonts w:ascii="Segoe UI" w:hAnsi="Segoe UI" w:cs="Segoe UI"/>
          <w:sz w:val="24"/>
          <w:szCs w:val="24"/>
        </w:rPr>
        <w:t xml:space="preserve">ва варианта привлечения средств дольщиков: либо </w:t>
      </w:r>
      <w:r>
        <w:rPr>
          <w:rFonts w:ascii="Segoe UI" w:hAnsi="Segoe UI" w:cs="Segoe UI"/>
          <w:sz w:val="24"/>
          <w:szCs w:val="24"/>
        </w:rPr>
        <w:lastRenderedPageBreak/>
        <w:t>посредством счета-</w:t>
      </w:r>
      <w:proofErr w:type="spellStart"/>
      <w:r>
        <w:rPr>
          <w:rFonts w:ascii="Segoe UI" w:hAnsi="Segoe UI" w:cs="Segoe UI"/>
          <w:sz w:val="24"/>
          <w:szCs w:val="24"/>
        </w:rPr>
        <w:t>эскроу</w:t>
      </w:r>
      <w:proofErr w:type="spellEnd"/>
      <w:r>
        <w:rPr>
          <w:rFonts w:ascii="Segoe UI" w:hAnsi="Segoe UI" w:cs="Segoe UI"/>
          <w:sz w:val="24"/>
          <w:szCs w:val="24"/>
        </w:rPr>
        <w:t xml:space="preserve">, либо при условии уплаты застройщиком взносов в компенсационный фонд». </w:t>
      </w:r>
    </w:p>
    <w:p w:rsidR="00110C69" w:rsidRDefault="00D1783D">
      <w:pPr>
        <w:spacing w:after="0"/>
        <w:ind w:firstLine="708"/>
        <w:jc w:val="both"/>
        <w:rPr>
          <w:rFonts w:ascii="Segoe UI" w:hAnsi="Segoe UI" w:cs="Segoe UI"/>
          <w:sz w:val="24"/>
          <w:szCs w:val="24"/>
        </w:rPr>
      </w:pPr>
      <w:r>
        <w:rPr>
          <w:rFonts w:ascii="Segoe UI" w:hAnsi="Segoe UI" w:cs="Segoe UI"/>
          <w:sz w:val="24"/>
          <w:szCs w:val="24"/>
        </w:rPr>
        <w:t>Привлечение средств посредством счетов-</w:t>
      </w:r>
      <w:proofErr w:type="spellStart"/>
      <w:r>
        <w:rPr>
          <w:rFonts w:ascii="Segoe UI" w:hAnsi="Segoe UI" w:cs="Segoe UI"/>
          <w:sz w:val="24"/>
          <w:szCs w:val="24"/>
        </w:rPr>
        <w:t>эскроу</w:t>
      </w:r>
      <w:proofErr w:type="spellEnd"/>
      <w:r>
        <w:rPr>
          <w:rFonts w:ascii="Segoe UI" w:hAnsi="Segoe UI" w:cs="Segoe UI"/>
          <w:sz w:val="24"/>
          <w:szCs w:val="24"/>
        </w:rPr>
        <w:t xml:space="preserve"> – это такой способ, когда деньги дольщиков размещаются на специал</w:t>
      </w:r>
      <w:r>
        <w:rPr>
          <w:rFonts w:ascii="Segoe UI" w:hAnsi="Segoe UI" w:cs="Segoe UI"/>
          <w:sz w:val="24"/>
          <w:szCs w:val="24"/>
        </w:rPr>
        <w:t>ьном счете в уполномоченном банке. Застройщик может получить их только тогда, когда построит дом и передаст объект недвижимости дольщикам. Если застройщик не сможет достроить дом, деньги дольщикам будут возвращены. В Самарской области за весь 2018 год было</w:t>
      </w:r>
      <w:r>
        <w:rPr>
          <w:rFonts w:ascii="Segoe UI" w:hAnsi="Segoe UI" w:cs="Segoe UI"/>
          <w:sz w:val="24"/>
          <w:szCs w:val="24"/>
        </w:rPr>
        <w:t xml:space="preserve"> зарегистрировано 16 договоров участия в долевом строительстве с применением </w:t>
      </w:r>
      <w:proofErr w:type="spellStart"/>
      <w:r>
        <w:rPr>
          <w:rFonts w:ascii="Segoe UI" w:hAnsi="Segoe UI" w:cs="Segoe UI"/>
          <w:sz w:val="24"/>
          <w:szCs w:val="24"/>
        </w:rPr>
        <w:t>эскроу</w:t>
      </w:r>
      <w:proofErr w:type="spellEnd"/>
      <w:r>
        <w:rPr>
          <w:rFonts w:ascii="Segoe UI" w:hAnsi="Segoe UI" w:cs="Segoe UI"/>
          <w:sz w:val="24"/>
          <w:szCs w:val="24"/>
        </w:rPr>
        <w:t xml:space="preserve">-счетов, а за 9 месяцев 2019 года уже 196 таких договоров. </w:t>
      </w:r>
    </w:p>
    <w:p w:rsidR="00110C69" w:rsidRDefault="00D1783D">
      <w:pPr>
        <w:spacing w:after="0"/>
        <w:ind w:firstLine="708"/>
        <w:jc w:val="both"/>
        <w:rPr>
          <w:rFonts w:ascii="Segoe UI" w:hAnsi="Segoe UI" w:cs="Segoe UI"/>
          <w:sz w:val="24"/>
          <w:szCs w:val="24"/>
        </w:rPr>
      </w:pPr>
      <w:r>
        <w:rPr>
          <w:rFonts w:ascii="Segoe UI" w:hAnsi="Segoe UI" w:cs="Segoe UI"/>
          <w:sz w:val="24"/>
          <w:szCs w:val="24"/>
        </w:rPr>
        <w:t xml:space="preserve">Второй способ – это уплата застройщиком взноса с каждого заключаемого договора участия в долевом строительстве в </w:t>
      </w:r>
      <w:r>
        <w:rPr>
          <w:rFonts w:ascii="Segoe UI" w:hAnsi="Segoe UI" w:cs="Segoe UI"/>
          <w:sz w:val="24"/>
          <w:szCs w:val="24"/>
        </w:rPr>
        <w:t>федеральный компенсационный фонд. Если он не выполнит свои обязательства, эти деньги будут направлены либо на то, чтобы достроить объект, либо на возмещение дольщикам внесенных ими сумм. Стоит отметить, что данный механизм доступен не всем компаниям, поско</w:t>
      </w:r>
      <w:r>
        <w:rPr>
          <w:rFonts w:ascii="Segoe UI" w:hAnsi="Segoe UI" w:cs="Segoe UI"/>
          <w:sz w:val="24"/>
          <w:szCs w:val="24"/>
        </w:rPr>
        <w:t>льку он применяется в зависимости от того, когда началась стройка, какой процент готовности строительства был достигнут и сколько договоров участия в долевом строительстве было заключено к лету этого года. Эксперт рекомендует убедиться, что на сайте размещ</w:t>
      </w:r>
      <w:r>
        <w:rPr>
          <w:rFonts w:ascii="Segoe UI" w:hAnsi="Segoe UI" w:cs="Segoe UI"/>
          <w:sz w:val="24"/>
          <w:szCs w:val="24"/>
        </w:rPr>
        <w:t xml:space="preserve">ено заключение министерства строительства Самарской области о том, что застройщик вправе использовать этот способ привлечения средств дольщиков. </w:t>
      </w:r>
    </w:p>
    <w:p w:rsidR="00110C69" w:rsidRDefault="00D1783D">
      <w:pPr>
        <w:spacing w:after="0"/>
        <w:ind w:firstLine="708"/>
        <w:jc w:val="both"/>
        <w:rPr>
          <w:rFonts w:ascii="Segoe UI" w:hAnsi="Segoe UI" w:cs="Segoe UI"/>
          <w:sz w:val="24"/>
          <w:szCs w:val="24"/>
        </w:rPr>
      </w:pPr>
      <w:r>
        <w:rPr>
          <w:rFonts w:ascii="Segoe UI" w:hAnsi="Segoe UI" w:cs="Segoe UI"/>
          <w:sz w:val="24"/>
          <w:szCs w:val="24"/>
        </w:rPr>
        <w:t>Посмотрев, все ли важные документы размещены застройщиком на сайте и изучив их, можно сделать вывод, насколько</w:t>
      </w:r>
      <w:r>
        <w:rPr>
          <w:rFonts w:ascii="Segoe UI" w:hAnsi="Segoe UI" w:cs="Segoe UI"/>
          <w:sz w:val="24"/>
          <w:szCs w:val="24"/>
        </w:rPr>
        <w:t xml:space="preserve"> ответственно застройщик подходит к обеспечению прав дольщиков. </w:t>
      </w:r>
    </w:p>
    <w:p w:rsidR="00110C69" w:rsidRDefault="00110C69">
      <w:pPr>
        <w:spacing w:after="0" w:line="276" w:lineRule="auto"/>
        <w:jc w:val="both"/>
        <w:rPr>
          <w:rFonts w:ascii="Segoe UI" w:hAnsi="Segoe UI" w:cs="Segoe UI"/>
          <w:sz w:val="24"/>
          <w:szCs w:val="24"/>
        </w:rPr>
      </w:pPr>
    </w:p>
    <w:p w:rsidR="00110C69" w:rsidRDefault="00D1783D">
      <w:pPr>
        <w:suppressAutoHyphens/>
        <w:autoSpaceDE w:val="0"/>
        <w:autoSpaceDN w:val="0"/>
        <w:adjustRightInd w:val="0"/>
        <w:spacing w:before="240" w:after="0" w:line="240" w:lineRule="auto"/>
        <w:jc w:val="both"/>
        <w:rPr>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rsidR="00110C69" w:rsidRDefault="00D1783D">
      <w:pPr>
        <w:spacing w:after="0" w:line="240" w:lineRule="auto"/>
        <w:jc w:val="both"/>
        <w:rPr>
          <w:rFonts w:ascii="Segoe UI" w:hAnsi="Segoe UI" w:cs="Segoe UI"/>
          <w:b/>
          <w:noProof/>
          <w:lang w:eastAsia="sk-SK"/>
        </w:rPr>
      </w:pPr>
      <w:r>
        <w:rPr>
          <w:rFonts w:ascii="Segoe UI" w:hAnsi="Segoe UI" w:cs="Segoe UI"/>
          <w:b/>
          <w:noProof/>
          <w:lang w:eastAsia="sk-SK"/>
        </w:rPr>
        <w:t>Контакты для СМИ:</w:t>
      </w:r>
    </w:p>
    <w:p w:rsidR="00110C69" w:rsidRDefault="00D1783D">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rsidR="00110C69" w:rsidRDefault="00D1783D">
      <w:pPr>
        <w:spacing w:after="0" w:line="240" w:lineRule="auto"/>
        <w:rPr>
          <w:rFonts w:ascii="Segoe UI" w:eastAsia="Arial Unicode MS" w:hAnsi="Segoe UI" w:cs="Segoe UI"/>
          <w:b/>
          <w:noProof/>
          <w:kern w:val="2"/>
          <w:sz w:val="20"/>
          <w:szCs w:val="20"/>
          <w:lang w:eastAsia="sk-SK" w:bidi="hi-IN"/>
        </w:rPr>
      </w:pPr>
      <w:r>
        <w:rPr>
          <w:rFonts w:ascii="Segoe UI" w:hAnsi="Segoe UI" w:cs="Segoe UI"/>
        </w:rPr>
        <w:t xml:space="preserve">(846) 33-22-555,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r>
        <w:rPr>
          <w:noProof/>
          <w:lang w:eastAsia="ru-RU"/>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p w:rsidR="00110C69" w:rsidRDefault="00110C69">
      <w:pPr>
        <w:spacing w:after="0"/>
        <w:jc w:val="both"/>
        <w:rPr>
          <w:rFonts w:ascii="Segoe UI" w:hAnsi="Segoe UI" w:cs="Segoe UI"/>
          <w:sz w:val="24"/>
          <w:szCs w:val="24"/>
        </w:rPr>
      </w:pPr>
    </w:p>
    <w:sectPr w:rsidR="00110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69"/>
    <w:rsid w:val="00110C69"/>
    <w:rsid w:val="00D1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84615-CE90-45E8-A066-F8E028AF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Полынкова Ульяна Викторовна</cp:lastModifiedBy>
  <cp:revision>149</cp:revision>
  <cp:lastPrinted>2019-10-18T06:08:00Z</cp:lastPrinted>
  <dcterms:created xsi:type="dcterms:W3CDTF">2019-10-17T05:10:00Z</dcterms:created>
  <dcterms:modified xsi:type="dcterms:W3CDTF">2019-11-05T07:57:00Z</dcterms:modified>
</cp:coreProperties>
</file>