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1"/>
        </w:rPr>
        <w:t>«Сокращен срок рассмотрения территориальными органами Социального фонда Российской Федерации заявлений об использовании средств материнского капитала»</w:t>
      </w:r>
    </w:p>
    <w:p w14:paraId="02000000">
      <w:pPr>
        <w:pStyle w:val="Style_1"/>
        <w:ind w:firstLine="709"/>
        <w:jc w:val="both"/>
        <w:rPr>
          <w:rFonts w:ascii="Times New Roman" w:hAnsi="Times New Roman"/>
          <w:b w:val="0"/>
        </w:rPr>
      </w:pPr>
    </w:p>
    <w:p w14:paraId="03000000">
      <w:pPr>
        <w:pStyle w:val="Style_1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Т</w:t>
      </w:r>
      <w:r>
        <w:rPr>
          <w:rFonts w:ascii="Times New Roman" w:hAnsi="Times New Roman"/>
          <w:b w:val="0"/>
        </w:rPr>
        <w:t xml:space="preserve">ерриториальными органами Социального фонда Российской Федерации заявлений об использовании средств материнского капитала с 10 до 5 рабочих дней. </w:t>
      </w:r>
    </w:p>
    <w:p w14:paraId="04000000">
      <w:pPr>
        <w:pStyle w:val="Style_1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Кроме того, снижен срок принятия решений о продлении сроков рассмотрения указанных заявлений  – с 20 до 12 рабочих дней. </w:t>
      </w:r>
    </w:p>
    <w:p w14:paraId="05000000">
      <w:pPr>
        <w:pStyle w:val="Style_1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Поправки приняты для реализации положений Федерального закона «О дополнительных мерах государственной поддержки семей, имеющих детей».</w:t>
      </w:r>
    </w:p>
    <w:p w14:paraId="06000000">
      <w:pPr>
        <w:pStyle w:val="Style_1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Средства материнского (семейного) капитала разрешено направлять на улучшение жилищных условий, оплату образования ребенка, товары и услуги для детей с инвалидностью и другие цели.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2026-08-31T11:56:19Z</dcterms:created>
  <dcterms:modified xsi:type="dcterms:W3CDTF">2026-08-31T11:56:19Z</dcterms:modified>
</cp:coreProperties>
</file>