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Похвистневский межрайонный прокурор разъясняет об ответственности за пропаганду либо публичное демонстрирование </w:t>
      </w:r>
      <w:r>
        <w:rPr>
          <w:rFonts w:ascii="Times New Roman" w:hAnsi="Times New Roman"/>
          <w:b w:val="1"/>
          <w:sz w:val="28"/>
        </w:rPr>
        <w:t>символики движений «АУЕ» и «Колумбайн»</w:t>
      </w:r>
    </w:p>
    <w:p w14:paraId="02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03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sz w:val="28"/>
        </w:rPr>
        <w:drawing>
          <wp:anchor allowOverlap="true" behindDoc="false" distL="114300" distR="114300" layoutInCell="true" locked="false" relativeHeight="251658240" simplePos="false">
            <wp:simplePos x="0" y="0"/>
            <wp:positionH relativeFrom="margin">
              <wp:posOffset>3174</wp:posOffset>
            </wp:positionH>
            <wp:positionV relativeFrom="page">
              <wp:posOffset>1516380</wp:posOffset>
            </wp:positionV>
            <wp:extent cx="2083081" cy="2864761"/>
            <wp:effectExtent b="0" l="0" r="0" t="0"/>
            <wp:wrapSquare distL="114300" distR="114300" wrapText="bothSides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2083081" cy="2864761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 xml:space="preserve">Решением Верховного суда Российской Федерации от 17.08.2020 </w:t>
      </w:r>
      <w:r>
        <w:rPr>
          <w:rFonts w:ascii="Times New Roman" w:hAnsi="Times New Roman"/>
          <w:sz w:val="28"/>
        </w:rPr>
        <w:t xml:space="preserve">общественное движение «Арестантское уголовное единство» признано </w:t>
      </w:r>
      <w:r>
        <w:rPr>
          <w:rFonts w:ascii="Times New Roman" w:hAnsi="Times New Roman"/>
          <w:sz w:val="28"/>
        </w:rPr>
        <w:t>экстремистским и его деятельность на территории России запрещена.</w:t>
      </w:r>
    </w:p>
    <w:p w14:paraId="04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Федеральным законом от 25.07.2002 № 114-ФЗ «О </w:t>
      </w:r>
      <w:r>
        <w:rPr>
          <w:rFonts w:ascii="Times New Roman" w:hAnsi="Times New Roman"/>
          <w:sz w:val="28"/>
        </w:rPr>
        <w:t xml:space="preserve">противодействии </w:t>
      </w:r>
      <w:r>
        <w:rPr>
          <w:rFonts w:ascii="Times New Roman" w:hAnsi="Times New Roman"/>
          <w:sz w:val="28"/>
        </w:rPr>
        <w:t xml:space="preserve">экстремистской </w:t>
      </w:r>
      <w:r>
        <w:rPr>
          <w:rFonts w:ascii="Times New Roman" w:hAnsi="Times New Roman"/>
          <w:sz w:val="28"/>
        </w:rPr>
        <w:t xml:space="preserve">деятельности» </w:t>
      </w:r>
      <w:r>
        <w:rPr>
          <w:rFonts w:ascii="Times New Roman" w:hAnsi="Times New Roman"/>
          <w:sz w:val="28"/>
        </w:rPr>
        <w:t xml:space="preserve">экстремистской </w:t>
      </w:r>
      <w:r>
        <w:rPr>
          <w:rFonts w:ascii="Times New Roman" w:hAnsi="Times New Roman"/>
          <w:sz w:val="28"/>
        </w:rPr>
        <w:t xml:space="preserve">деятельностью (экстремизмом) признается, в том числе, пропаганда и </w:t>
      </w:r>
      <w:r>
        <w:rPr>
          <w:rFonts w:ascii="Times New Roman" w:hAnsi="Times New Roman"/>
          <w:sz w:val="28"/>
        </w:rPr>
        <w:t xml:space="preserve">публичное демонстрирование атрибутики или символики экстремистских </w:t>
      </w:r>
      <w:r>
        <w:rPr>
          <w:rFonts w:ascii="Times New Roman" w:hAnsi="Times New Roman"/>
          <w:sz w:val="28"/>
        </w:rPr>
        <w:t>организаций.</w:t>
      </w:r>
    </w:p>
    <w:p w14:paraId="05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настоящее время за распространение информации о данном </w:t>
      </w:r>
      <w:r>
        <w:rPr>
          <w:rFonts w:ascii="Times New Roman" w:hAnsi="Times New Roman"/>
          <w:sz w:val="28"/>
        </w:rPr>
        <w:t xml:space="preserve">движении без указания на то, что его деятельность запрещена, виновное лицо </w:t>
      </w:r>
      <w:r>
        <w:rPr>
          <w:rFonts w:ascii="Times New Roman" w:hAnsi="Times New Roman"/>
          <w:sz w:val="28"/>
        </w:rPr>
        <w:t xml:space="preserve">подлежит привлечению к административной ответственности по части 2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статьи 13.15 КоАП РФ, а за пропаганду либо публичное демонстрирование, а </w:t>
      </w:r>
      <w:r>
        <w:rPr>
          <w:rFonts w:ascii="Times New Roman" w:hAnsi="Times New Roman"/>
          <w:sz w:val="28"/>
        </w:rPr>
        <w:t xml:space="preserve">также изготовление или сбыт в целях пропаганды либо приобретение в целях </w:t>
      </w:r>
      <w:r>
        <w:rPr>
          <w:rFonts w:ascii="Times New Roman" w:hAnsi="Times New Roman"/>
          <w:sz w:val="28"/>
        </w:rPr>
        <w:t xml:space="preserve">сбыта атрибутики или символики движения «АУЕ» — по частям 1 и 2 статьи </w:t>
      </w:r>
      <w:r>
        <w:rPr>
          <w:rFonts w:ascii="Times New Roman" w:hAnsi="Times New Roman"/>
          <w:sz w:val="28"/>
        </w:rPr>
        <w:t>20.3 КоАП РФ.</w:t>
      </w:r>
    </w:p>
    <w:p w14:paraId="06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Кроме того, информационные материалы, раскрывающие аспекты </w:t>
      </w:r>
      <w:r>
        <w:rPr>
          <w:rFonts w:ascii="Times New Roman" w:hAnsi="Times New Roman"/>
          <w:sz w:val="28"/>
        </w:rPr>
        <w:t xml:space="preserve">проявлений деятельности движения «АУЕ» и пропагандирующие </w:t>
      </w:r>
      <w:r>
        <w:rPr>
          <w:rFonts w:ascii="Times New Roman" w:hAnsi="Times New Roman"/>
          <w:sz w:val="28"/>
        </w:rPr>
        <w:t xml:space="preserve">рассматриваемую субкультуру и ее идеологию, либо оправдывающие его </w:t>
      </w:r>
      <w:r>
        <w:rPr>
          <w:rFonts w:ascii="Times New Roman" w:hAnsi="Times New Roman"/>
          <w:sz w:val="28"/>
        </w:rPr>
        <w:t xml:space="preserve">деятельность, могут быть признаны экстремистскими и включены в </w:t>
      </w:r>
      <w:r>
        <w:rPr>
          <w:rFonts w:ascii="Times New Roman" w:hAnsi="Times New Roman"/>
          <w:sz w:val="28"/>
        </w:rPr>
        <w:t xml:space="preserve">федеральный список экстремистских материалов, массовое распространение </w:t>
      </w:r>
      <w:r>
        <w:rPr>
          <w:rFonts w:ascii="Times New Roman" w:hAnsi="Times New Roman"/>
          <w:sz w:val="28"/>
        </w:rPr>
        <w:t xml:space="preserve">которых, а равно производство либо хранение в целях массового </w:t>
      </w:r>
      <w:r>
        <w:rPr>
          <w:rFonts w:ascii="Times New Roman" w:hAnsi="Times New Roman"/>
          <w:sz w:val="28"/>
        </w:rPr>
        <w:t xml:space="preserve">распространения является правонарушением и влечет административную </w:t>
      </w:r>
      <w:r>
        <w:rPr>
          <w:rFonts w:ascii="Times New Roman" w:hAnsi="Times New Roman"/>
          <w:sz w:val="28"/>
        </w:rPr>
        <w:t>ответственность по статье 20.29 КоАП РФ.</w:t>
      </w:r>
    </w:p>
    <w:p w14:paraId="07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Организация деятельности указанного криминального объединения, </w:t>
      </w:r>
      <w:r>
        <w:rPr>
          <w:rFonts w:ascii="Times New Roman" w:hAnsi="Times New Roman"/>
          <w:sz w:val="28"/>
        </w:rPr>
        <w:t xml:space="preserve">склонение, вербовка, иное вовлечение лица в его деятельность, участие в </w:t>
      </w:r>
      <w:r>
        <w:rPr>
          <w:rFonts w:ascii="Times New Roman" w:hAnsi="Times New Roman"/>
          <w:sz w:val="28"/>
        </w:rPr>
        <w:t xml:space="preserve">нем, предоставление или сбор средств либо оказание финансовых услуг, </w:t>
      </w:r>
      <w:r>
        <w:rPr>
          <w:rFonts w:ascii="Times New Roman" w:hAnsi="Times New Roman"/>
          <w:sz w:val="28"/>
        </w:rPr>
        <w:t xml:space="preserve">заведомо предназначенных для обеспечения деятельности движения </w:t>
      </w:r>
      <w:r>
        <w:rPr>
          <w:rFonts w:ascii="Times New Roman" w:hAnsi="Times New Roman"/>
          <w:sz w:val="28"/>
        </w:rPr>
        <w:t xml:space="preserve">образуют признаки составов преступлений, предусмотренных частями 1, 1.1 </w:t>
      </w:r>
      <w:r>
        <w:rPr>
          <w:rFonts w:ascii="Times New Roman" w:hAnsi="Times New Roman"/>
          <w:sz w:val="28"/>
        </w:rPr>
        <w:t>и 2 статьи 282.2, частью 1 статьи 282.3 УК РФ.</w:t>
      </w:r>
    </w:p>
    <w:p w14:paraId="08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Кроме того, 02.02.2022 Верховным судом Российской Федерации </w:t>
      </w:r>
      <w:r>
        <w:rPr>
          <w:rFonts w:ascii="Times New Roman" w:hAnsi="Times New Roman"/>
          <w:sz w:val="28"/>
        </w:rPr>
        <w:t xml:space="preserve">рассмотрены и удовлетворены исковые требования Генеральной </w:t>
      </w:r>
      <w:r>
        <w:rPr>
          <w:rFonts w:ascii="Times New Roman" w:hAnsi="Times New Roman"/>
          <w:sz w:val="28"/>
        </w:rPr>
        <w:t xml:space="preserve">прокуратуры России о признании террористическим и запрете деятельности </w:t>
      </w:r>
      <w:r>
        <w:rPr>
          <w:rFonts w:ascii="Times New Roman" w:hAnsi="Times New Roman"/>
          <w:sz w:val="28"/>
        </w:rPr>
        <w:t>движения «Колумбайн».</w:t>
      </w:r>
    </w:p>
    <w:p w14:paraId="09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этой связи любые действия, направленные на распространение </w:t>
      </w:r>
      <w:r>
        <w:rPr>
          <w:rFonts w:ascii="Times New Roman" w:hAnsi="Times New Roman"/>
          <w:sz w:val="28"/>
        </w:rPr>
        <w:t xml:space="preserve">идеологии движения «Колумбайн», участие в деятельности указанного </w:t>
      </w:r>
      <w:r>
        <w:rPr>
          <w:rFonts w:ascii="Times New Roman" w:hAnsi="Times New Roman"/>
          <w:sz w:val="28"/>
        </w:rPr>
        <w:t xml:space="preserve">движения, а также действия организационного характера, направленные на </w:t>
      </w:r>
      <w:r>
        <w:rPr>
          <w:rFonts w:ascii="Times New Roman" w:hAnsi="Times New Roman"/>
          <w:sz w:val="28"/>
        </w:rPr>
        <w:t xml:space="preserve">продолжение или возобновление противоправной деятельности запрещенной </w:t>
      </w:r>
      <w:r>
        <w:rPr>
          <w:rFonts w:ascii="Times New Roman" w:hAnsi="Times New Roman"/>
          <w:sz w:val="28"/>
        </w:rPr>
        <w:t>организации, будут влечь за собой установленную законом ответственность.</w:t>
      </w:r>
    </w:p>
    <w:p w14:paraId="0A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Уголовная ответственность по части 1 статьи 205.5 УК </w:t>
      </w:r>
      <w:r>
        <w:rPr>
          <w:rFonts w:ascii="Times New Roman" w:hAnsi="Times New Roman"/>
          <w:sz w:val="28"/>
        </w:rPr>
        <w:t xml:space="preserve">РФ наступает за организацию деятельности террористической организации и </w:t>
      </w:r>
      <w:r>
        <w:rPr>
          <w:rFonts w:ascii="Times New Roman" w:hAnsi="Times New Roman"/>
          <w:sz w:val="28"/>
        </w:rPr>
        <w:t>за участие в такой деятельности.</w:t>
      </w:r>
    </w:p>
    <w:p w14:paraId="0B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 участием в деятельности террористической организации </w:t>
      </w:r>
      <w:r>
        <w:rPr>
          <w:rFonts w:ascii="Times New Roman" w:hAnsi="Times New Roman"/>
          <w:sz w:val="28"/>
        </w:rPr>
        <w:t xml:space="preserve">понимается совершение лицом умышленных действий, относящихся к </w:t>
      </w:r>
      <w:r>
        <w:rPr>
          <w:rFonts w:ascii="Times New Roman" w:hAnsi="Times New Roman"/>
          <w:sz w:val="28"/>
        </w:rPr>
        <w:t xml:space="preserve">продолжению или возобновлению деятельности данной организации </w:t>
      </w:r>
      <w:r>
        <w:rPr>
          <w:rFonts w:ascii="Times New Roman" w:hAnsi="Times New Roman"/>
          <w:sz w:val="28"/>
        </w:rPr>
        <w:t xml:space="preserve">(проведение бесед в целях пропаганды деятельности запрещенной </w:t>
      </w:r>
      <w:r>
        <w:rPr>
          <w:rFonts w:ascii="Times New Roman" w:hAnsi="Times New Roman"/>
          <w:sz w:val="28"/>
        </w:rPr>
        <w:t xml:space="preserve">организации, непосредственное участие в проводимых организационных </w:t>
      </w:r>
      <w:r>
        <w:rPr>
          <w:rFonts w:ascii="Times New Roman" w:hAnsi="Times New Roman"/>
          <w:sz w:val="28"/>
        </w:rPr>
        <w:t>мероприятиях и т.п.).</w:t>
      </w:r>
    </w:p>
    <w:p w14:paraId="0C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Санкция статьи 205.5 УК РФ предусматривает наказание </w:t>
      </w:r>
      <w:r>
        <w:rPr>
          <w:rFonts w:ascii="Times New Roman" w:hAnsi="Times New Roman"/>
          <w:sz w:val="28"/>
        </w:rPr>
        <w:t xml:space="preserve">исключительно в виде лишения свободы на срок до 20 лет либо </w:t>
      </w:r>
      <w:r>
        <w:rPr>
          <w:rFonts w:ascii="Times New Roman" w:hAnsi="Times New Roman"/>
          <w:sz w:val="28"/>
        </w:rPr>
        <w:t>пожизненного лишения свободы</w:t>
      </w:r>
    </w:p>
    <w:p w14:paraId="0D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 пропаганду или демонстрирование атрибутики или символики </w:t>
      </w:r>
      <w:r>
        <w:rPr>
          <w:rFonts w:ascii="Times New Roman" w:hAnsi="Times New Roman"/>
          <w:sz w:val="28"/>
        </w:rPr>
        <w:t xml:space="preserve">террористической </w:t>
      </w:r>
      <w:r>
        <w:rPr>
          <w:rFonts w:ascii="Times New Roman" w:hAnsi="Times New Roman"/>
          <w:sz w:val="28"/>
        </w:rPr>
        <w:t xml:space="preserve">организации </w:t>
      </w:r>
      <w:r>
        <w:rPr>
          <w:rFonts w:ascii="Times New Roman" w:hAnsi="Times New Roman"/>
          <w:sz w:val="28"/>
        </w:rPr>
        <w:t xml:space="preserve">наступает </w:t>
      </w:r>
      <w:r>
        <w:rPr>
          <w:rFonts w:ascii="Times New Roman" w:hAnsi="Times New Roman"/>
          <w:sz w:val="28"/>
        </w:rPr>
        <w:t xml:space="preserve">административная </w:t>
      </w:r>
      <w:r>
        <w:rPr>
          <w:rFonts w:ascii="Times New Roman" w:hAnsi="Times New Roman"/>
          <w:sz w:val="28"/>
        </w:rPr>
        <w:t xml:space="preserve">ответственность, предусмотренная статьей 20.3 Кодекса Российской </w:t>
      </w:r>
      <w:r>
        <w:rPr>
          <w:rFonts w:ascii="Times New Roman" w:hAnsi="Times New Roman"/>
          <w:sz w:val="28"/>
        </w:rPr>
        <w:t xml:space="preserve">Федерации об административных правонарушениях. Виновному лицу может </w:t>
      </w:r>
      <w:r>
        <w:rPr>
          <w:rFonts w:ascii="Times New Roman" w:hAnsi="Times New Roman"/>
          <w:sz w:val="28"/>
        </w:rPr>
        <w:t xml:space="preserve">быть назначено наказание в виде штрафа в размере до 2 тыс. рублей, </w:t>
      </w:r>
      <w:r>
        <w:rPr>
          <w:rFonts w:ascii="Times New Roman" w:hAnsi="Times New Roman"/>
          <w:sz w:val="28"/>
        </w:rPr>
        <w:t xml:space="preserve">юридическому лицу – до 50 тыс. рублей. </w:t>
      </w:r>
    </w:p>
    <w:p w14:paraId="0E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Кроме того, участие в запрещенной организации влечет для граждан </w:t>
      </w:r>
      <w:r>
        <w:rPr>
          <w:rFonts w:ascii="Times New Roman" w:hAnsi="Times New Roman"/>
          <w:sz w:val="28"/>
        </w:rPr>
        <w:t xml:space="preserve">ограничение и иных прав. К примеру, участники, члены, работники </w:t>
      </w:r>
      <w:r>
        <w:rPr>
          <w:rFonts w:ascii="Times New Roman" w:hAnsi="Times New Roman"/>
          <w:sz w:val="28"/>
        </w:rPr>
        <w:t xml:space="preserve">экстремистской или террористической организации или иные лица, </w:t>
      </w:r>
      <w:r>
        <w:rPr>
          <w:rFonts w:ascii="Times New Roman" w:hAnsi="Times New Roman"/>
          <w:sz w:val="28"/>
        </w:rPr>
        <w:t xml:space="preserve">причастные к деятельности экстремистской или террористической </w:t>
      </w:r>
      <w:r>
        <w:rPr>
          <w:rFonts w:ascii="Times New Roman" w:hAnsi="Times New Roman"/>
          <w:sz w:val="28"/>
        </w:rPr>
        <w:t xml:space="preserve">организации, в срок, начинающийся за один год до дня вступления в </w:t>
      </w:r>
      <w:r>
        <w:rPr>
          <w:rFonts w:ascii="Times New Roman" w:hAnsi="Times New Roman"/>
          <w:sz w:val="28"/>
        </w:rPr>
        <w:t xml:space="preserve">законную силу решения суда о ликвидации или запрете деятельности </w:t>
      </w:r>
      <w:r>
        <w:rPr>
          <w:rFonts w:ascii="Times New Roman" w:hAnsi="Times New Roman"/>
          <w:sz w:val="28"/>
        </w:rPr>
        <w:t xml:space="preserve">экстремистской или террористической организации, а также после </w:t>
      </w:r>
      <w:r>
        <w:rPr>
          <w:rFonts w:ascii="Times New Roman" w:hAnsi="Times New Roman"/>
          <w:sz w:val="28"/>
        </w:rPr>
        <w:t xml:space="preserve">вступления в законную силу указанного решения суда, лишаются пассивного </w:t>
      </w:r>
      <w:r>
        <w:rPr>
          <w:rFonts w:ascii="Times New Roman" w:hAnsi="Times New Roman"/>
          <w:sz w:val="28"/>
        </w:rPr>
        <w:t>избирательного права.</w:t>
      </w:r>
    </w:p>
    <w:sectPr>
      <w:pgSz w:h="16838" w:orient="portrait" w:w="11906"/>
      <w:pgMar w:bottom="1134" w:footer="709" w:gutter="0" w:header="709" w:left="1418" w:right="851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160" w:before="0" w:line="259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widowControl w:val="1"/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widowControl w:val="1"/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widowControl w:val="1"/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widowControl w:val="1"/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Balloon Text"/>
    <w:basedOn w:val="Style_1"/>
    <w:link w:val="Style_8_ch"/>
    <w:pPr>
      <w:widowControl w:val="1"/>
      <w:spacing w:after="0" w:line="240" w:lineRule="auto"/>
      <w:ind/>
    </w:pPr>
    <w:rPr>
      <w:rFonts w:ascii="Segoe UI" w:hAnsi="Segoe UI"/>
      <w:sz w:val="18"/>
    </w:rPr>
  </w:style>
  <w:style w:styleId="Style_8_ch" w:type="character">
    <w:name w:val="Balloon Text"/>
    <w:basedOn w:val="Style_1_ch"/>
    <w:link w:val="Style_8"/>
    <w:rPr>
      <w:rFonts w:ascii="Segoe UI" w:hAnsi="Segoe UI"/>
      <w:sz w:val="18"/>
    </w:rPr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10" w:type="paragraph">
    <w:name w:val="toc 3"/>
    <w:next w:val="Style_1"/>
    <w:link w:val="Style_10_ch"/>
    <w:uiPriority w:val="39"/>
    <w:pPr>
      <w:widowControl w:val="1"/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heading 5"/>
    <w:next w:val="Style_1"/>
    <w:link w:val="Style_11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1"/>
    <w:link w:val="Style_12_ch"/>
    <w:uiPriority w:val="9"/>
    <w:qFormat/>
    <w:pPr>
      <w:widowControl w:val="1"/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Hyperlink"/>
    <w:basedOn w:val="Style_9"/>
    <w:link w:val="Style_13_ch"/>
    <w:rPr>
      <w:color w:themeColor="hyperlink" w:val="0563C1"/>
      <w:u w:val="single"/>
    </w:rPr>
  </w:style>
  <w:style w:styleId="Style_13_ch" w:type="character">
    <w:name w:val="Hyperlink"/>
    <w:basedOn w:val="Style_9_ch"/>
    <w:link w:val="Style_13"/>
    <w:rPr>
      <w:color w:themeColor="hyperlink" w:val="0563C1"/>
      <w:u w:val="single"/>
    </w:rPr>
  </w:style>
  <w:style w:styleId="Style_14" w:type="paragraph">
    <w:name w:val="Footnote"/>
    <w:link w:val="Style_14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1"/>
    <w:link w:val="Style_15_ch"/>
    <w:uiPriority w:val="39"/>
    <w:pPr>
      <w:widowControl w:val="1"/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 and Footer"/>
    <w:link w:val="Style_16_ch"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styleId="Style_16_ch" w:type="character">
    <w:name w:val="Header and Footer"/>
    <w:link w:val="Style_16"/>
    <w:rPr>
      <w:rFonts w:ascii="XO Thames" w:hAnsi="XO Thames"/>
      <w:sz w:val="28"/>
    </w:rPr>
  </w:style>
  <w:style w:styleId="Style_17" w:type="paragraph">
    <w:name w:val="toc 9"/>
    <w:next w:val="Style_1"/>
    <w:link w:val="Style_17_ch"/>
    <w:uiPriority w:val="39"/>
    <w:pPr>
      <w:widowControl w:val="1"/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1"/>
    <w:link w:val="Style_18_ch"/>
    <w:uiPriority w:val="39"/>
    <w:pPr>
      <w:widowControl w:val="1"/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1"/>
    <w:link w:val="Style_19_ch"/>
    <w:uiPriority w:val="39"/>
    <w:pPr>
      <w:widowControl w:val="1"/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Subtitle"/>
    <w:next w:val="Style_1"/>
    <w:link w:val="Style_20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20_ch" w:type="character">
    <w:name w:val="Subtitle"/>
    <w:link w:val="Style_20"/>
    <w:rPr>
      <w:rFonts w:ascii="XO Thames" w:hAnsi="XO Thames"/>
      <w:i w:val="1"/>
      <w:sz w:val="24"/>
    </w:rPr>
  </w:style>
  <w:style w:styleId="Style_21" w:type="paragraph">
    <w:name w:val="Title"/>
    <w:next w:val="Style_1"/>
    <w:link w:val="Style_21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1_ch" w:type="character">
    <w:name w:val="Title"/>
    <w:link w:val="Style_21"/>
    <w:rPr>
      <w:rFonts w:ascii="XO Thames" w:hAnsi="XO Thames"/>
      <w:b w:val="1"/>
      <w:caps w:val="1"/>
      <w:sz w:val="40"/>
    </w:rPr>
  </w:style>
  <w:style w:styleId="Style_22" w:type="paragraph">
    <w:name w:val="heading 4"/>
    <w:next w:val="Style_1"/>
    <w:link w:val="Style_22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2_ch" w:type="character">
    <w:name w:val="heading 4"/>
    <w:link w:val="Style_22"/>
    <w:rPr>
      <w:rFonts w:ascii="XO Thames" w:hAnsi="XO Thames"/>
      <w:b w:val="1"/>
      <w:sz w:val="24"/>
    </w:rPr>
  </w:style>
  <w:style w:styleId="Style_23" w:type="paragraph">
    <w:name w:val="heading 2"/>
    <w:next w:val="Style_1"/>
    <w:link w:val="Style_23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3_ch" w:type="character">
    <w:name w:val="heading 2"/>
    <w:link w:val="Style_23"/>
    <w:rPr>
      <w:rFonts w:ascii="XO Thames" w:hAnsi="XO Thames"/>
      <w:b w:val="1"/>
      <w:sz w:val="28"/>
    </w:rPr>
  </w:style>
  <w:style w:default="1" w:styleId="Style_2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jpeg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MyOffice-CoreFramework-Linux/38-1384.1107.10199.1019.1@18975027e3ee4b688e27426d4a78178cb841a344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2024-09-10T06:56:00Z</dcterms:created>
  <dcterms:modified xsi:type="dcterms:W3CDTF">2026-03-30T05:52:43Z</dcterms:modified>
</cp:coreProperties>
</file>