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240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22.12.2025. </w:t>
      </w:r>
      <w:r>
        <w:rPr>
          <w:b w:val="1"/>
          <w:sz w:val="28"/>
        </w:rPr>
        <w:t>Расширен перечень категорий военнослужащих, имеющих право на внеочередное обеспечение жильем (жилищной су</w:t>
      </w:r>
      <w:r>
        <w:rPr>
          <w:b w:val="1"/>
          <w:sz w:val="28"/>
        </w:rPr>
        <w:t>бсидией)</w:t>
      </w:r>
    </w:p>
    <w:p w14:paraId="02000000">
      <w:pPr>
        <w:pStyle w:val="Style_1"/>
        <w:widowControl w:val="1"/>
        <w:spacing w:before="240"/>
        <w:ind w:firstLine="709"/>
        <w:jc w:val="both"/>
        <w:rPr>
          <w:sz w:val="28"/>
        </w:rPr>
      </w:pPr>
      <w:r>
        <w:rPr>
          <w:sz w:val="28"/>
        </w:rPr>
        <w:t>В федеральный закон Федеральный закон от 15.12.2025 № 469-ФЗ</w:t>
      </w:r>
      <w:r>
        <w:rPr>
          <w:sz w:val="28"/>
        </w:rPr>
        <w:br/>
      </w:r>
      <w:r>
        <w:rPr>
          <w:sz w:val="28"/>
        </w:rPr>
        <w:t xml:space="preserve">«О внесении изменений в Федеральный закон «О статусе военнослужащих» внесены дополнения, согласно которым расширен перечень категорий военнослужащих, имеющих право на внеочередное обеспечение жильем. </w:t>
      </w:r>
    </w:p>
    <w:p w14:paraId="03000000">
      <w:pPr>
        <w:pStyle w:val="Style_1"/>
        <w:widowControl w:val="1"/>
        <w:spacing w:before="240"/>
        <w:ind w:firstLine="709"/>
        <w:jc w:val="both"/>
        <w:rPr>
          <w:sz w:val="28"/>
        </w:rPr>
      </w:pPr>
      <w:r>
        <w:rPr>
          <w:sz w:val="28"/>
        </w:rPr>
        <w:t xml:space="preserve">Согласно внесенному дополнению денежные средства на приобретение или строительство жилых помещений либо жилые помещения вне очереди </w:t>
      </w:r>
      <w:r>
        <w:rPr>
          <w:sz w:val="28"/>
        </w:rPr>
        <w:t xml:space="preserve">предоставляются в том числе: военнослужащим-гражданам и гражданам, уволенным с военной службы при наличии детей, являющихся инвалидами с детства; лицам, указанным в пункте 2.1 статьи 36 Федерального закона </w:t>
      </w:r>
      <w:r>
        <w:rPr>
          <w:sz w:val="28"/>
        </w:rPr>
        <w:t>«</w:t>
      </w:r>
      <w:r>
        <w:rPr>
          <w:sz w:val="28"/>
        </w:rPr>
        <w:t>О воинской обязанности и военной службе</w:t>
      </w:r>
      <w:r>
        <w:rPr>
          <w:sz w:val="28"/>
        </w:rPr>
        <w:t>»</w:t>
      </w:r>
      <w:r>
        <w:rPr>
          <w:sz w:val="28"/>
        </w:rPr>
        <w:t>; а также</w:t>
      </w:r>
      <w:r>
        <w:rPr>
          <w:sz w:val="28"/>
        </w:rPr>
        <w:t xml:space="preserve"> лицам, в отношении которых приняты соответствующие решения руководителем федерального органа исполнительной власти или федерального государственного органа, в которых предусмотрена военная служба.</w:t>
      </w:r>
    </w:p>
    <w:p w14:paraId="04000000">
      <w:pPr>
        <w:pStyle w:val="Style_1"/>
        <w:rPr>
          <w:sz w:val="28"/>
        </w:rPr>
      </w:pPr>
    </w:p>
    <w:p w14:paraId="05000000">
      <w:pPr>
        <w:pStyle w:val="Style_1"/>
        <w:rPr>
          <w:sz w:val="28"/>
        </w:rPr>
      </w:pPr>
      <w:r>
        <w:rPr>
          <w:sz w:val="28"/>
        </w:rPr>
        <w:t>22.12.2025</w:t>
      </w:r>
      <w:r>
        <w:rPr>
          <w:i w:val="1"/>
          <w:sz w:val="28"/>
        </w:rPr>
        <w:br/>
      </w:r>
    </w:p>
    <w:p w14:paraId="06000000">
      <w:pPr>
        <w:pStyle w:val="Style_1"/>
        <w:rPr>
          <w:sz w:val="28"/>
        </w:rPr>
      </w:pP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Nonformat"/>
    <w:link w:val="Style_8_ch"/>
    <w:pPr>
      <w:widowControl w:val="0"/>
      <w:ind/>
    </w:pPr>
    <w:rPr>
      <w:rFonts w:ascii="Courier New" w:hAnsi="Courier New"/>
      <w:sz w:val="20"/>
    </w:rPr>
  </w:style>
  <w:style w:styleId="Style_8_ch" w:type="character">
    <w:name w:val="ConsPlusNonformat"/>
    <w:link w:val="Style_8"/>
    <w:rPr>
      <w:rFonts w:ascii="Courier New" w:hAnsi="Courier New"/>
      <w:sz w:val="20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itlePage"/>
    <w:link w:val="Style_11_ch"/>
    <w:pPr>
      <w:widowControl w:val="0"/>
      <w:ind/>
    </w:pPr>
    <w:rPr>
      <w:rFonts w:ascii="Tahoma" w:hAnsi="Tahoma"/>
      <w:sz w:val="20"/>
    </w:rPr>
  </w:style>
  <w:style w:styleId="Style_11_ch" w:type="character">
    <w:name w:val="ConsPlusTitlePage"/>
    <w:link w:val="Style_11"/>
    <w:rPr>
      <w:rFonts w:ascii="Tahoma" w:hAnsi="Tahoma"/>
      <w:sz w:val="20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styleId="Style_1_ch" w:type="character">
    <w:name w:val="ConsPlusNormal"/>
    <w:link w:val="Style_1"/>
    <w:rPr>
      <w:rFonts w:ascii="Times New Roman" w:hAnsi="Times New Roman"/>
      <w:sz w:val="24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TextList"/>
    <w:link w:val="Style_13_ch"/>
    <w:pPr>
      <w:widowControl w:val="0"/>
      <w:ind/>
    </w:pPr>
    <w:rPr>
      <w:rFonts w:ascii="Times New Roman" w:hAnsi="Times New Roman"/>
      <w:sz w:val="24"/>
    </w:rPr>
  </w:style>
  <w:style w:styleId="Style_13_ch" w:type="character">
    <w:name w:val="ConsPlusTextList"/>
    <w:link w:val="Style_13"/>
    <w:rPr>
      <w:rFonts w:ascii="Times New Roman" w:hAnsi="Times New Roman"/>
      <w:sz w:val="24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ConsPlusCell"/>
    <w:link w:val="Style_16_ch"/>
    <w:pPr>
      <w:widowControl w:val="0"/>
      <w:ind/>
    </w:pPr>
    <w:rPr>
      <w:rFonts w:ascii="Courier New" w:hAnsi="Courier New"/>
      <w:sz w:val="20"/>
    </w:rPr>
  </w:style>
  <w:style w:styleId="Style_16_ch" w:type="character">
    <w:name w:val="ConsPlusCell"/>
    <w:link w:val="Style_16"/>
    <w:rPr>
      <w:rFonts w:ascii="Courier New" w:hAnsi="Courier New"/>
      <w:sz w:val="2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ConsPlusTextLis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TextList"/>
    <w:link w:val="Style_21"/>
    <w:rPr>
      <w:rFonts w:ascii="Times New Roman" w:hAnsi="Times New Roman"/>
      <w:sz w:val="24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JurTerm"/>
    <w:link w:val="Style_26_ch"/>
    <w:pPr>
      <w:widowControl w:val="0"/>
      <w:ind/>
    </w:pPr>
    <w:rPr>
      <w:rFonts w:ascii="Tahoma" w:hAnsi="Tahoma"/>
      <w:sz w:val="26"/>
    </w:rPr>
  </w:style>
  <w:style w:styleId="Style_26_ch" w:type="character">
    <w:name w:val="ConsPlusJurTerm"/>
    <w:link w:val="Style_26"/>
    <w:rPr>
      <w:rFonts w:ascii="Tahoma" w:hAnsi="Tahoma"/>
      <w:sz w:val="26"/>
    </w:rPr>
  </w:style>
  <w:style w:styleId="Style_27" w:type="paragraph">
    <w:name w:val="Balloon Text"/>
    <w:basedOn w:val="Style_2"/>
    <w:link w:val="Style_27_ch"/>
    <w:rPr>
      <w:rFonts w:ascii="Tahoma" w:hAnsi="Tahoma"/>
      <w:sz w:val="16"/>
    </w:rPr>
  </w:style>
  <w:style w:styleId="Style_27_ch" w:type="character">
    <w:name w:val="Balloon Text"/>
    <w:basedOn w:val="Style_2_ch"/>
    <w:link w:val="Style_27"/>
    <w:rPr>
      <w:rFonts w:ascii="Tahoma" w:hAnsi="Tahoma"/>
      <w:sz w:val="16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ConsPlusDocList"/>
    <w:link w:val="Style_29_ch"/>
    <w:pPr>
      <w:widowControl w:val="0"/>
      <w:ind/>
    </w:pPr>
    <w:rPr>
      <w:rFonts w:ascii="Tahoma" w:hAnsi="Tahoma"/>
      <w:sz w:val="18"/>
    </w:rPr>
  </w:style>
  <w:style w:styleId="Style_29_ch" w:type="character">
    <w:name w:val="ConsPlusDocList"/>
    <w:link w:val="Style_29"/>
    <w:rPr>
      <w:rFonts w:ascii="Tahoma" w:hAnsi="Tahoma"/>
      <w:sz w:val="18"/>
    </w:rPr>
  </w:style>
  <w:style w:styleId="Style_30" w:type="paragraph">
    <w:name w:val="Title"/>
    <w:next w:val="Style_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2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2025-12-22T14:52:00Z</dcterms:created>
  <dcterms:modified xsi:type="dcterms:W3CDTF">2025-12-22T14:52:00Z</dcterms:modified>
</cp:coreProperties>
</file>